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66" w:rsidRPr="00721266" w:rsidRDefault="00725A57" w:rsidP="00721266">
      <w:pPr>
        <w:jc w:val="center"/>
        <w:rPr>
          <w:lang w:val="en-GB"/>
        </w:rPr>
      </w:pPr>
      <w:r w:rsidRPr="00721266">
        <w:rPr>
          <w:b/>
          <w:bCs/>
          <w:i/>
          <w:iCs/>
        </w:rPr>
        <w:t xml:space="preserve"> </w:t>
      </w:r>
      <w:r w:rsidR="00721266" w:rsidRPr="00721266">
        <w:rPr>
          <w:b/>
          <w:bCs/>
          <w:i/>
          <w:iCs/>
        </w:rPr>
        <w:t xml:space="preserve">Patent </w:t>
      </w:r>
      <w:proofErr w:type="spellStart"/>
      <w:r w:rsidR="00721266" w:rsidRPr="00721266">
        <w:rPr>
          <w:b/>
          <w:bCs/>
          <w:i/>
          <w:iCs/>
        </w:rPr>
        <w:t>Prosecution</w:t>
      </w:r>
      <w:proofErr w:type="spellEnd"/>
      <w:r w:rsidR="00721266" w:rsidRPr="00721266">
        <w:rPr>
          <w:b/>
          <w:bCs/>
          <w:i/>
          <w:iCs/>
        </w:rPr>
        <w:t xml:space="preserve"> </w:t>
      </w:r>
      <w:proofErr w:type="spellStart"/>
      <w:r w:rsidR="00721266" w:rsidRPr="00721266">
        <w:rPr>
          <w:b/>
          <w:bCs/>
          <w:i/>
          <w:iCs/>
        </w:rPr>
        <w:t>Highway</w:t>
      </w:r>
      <w:proofErr w:type="spellEnd"/>
      <w:r w:rsidR="00721266" w:rsidRPr="00721266">
        <w:rPr>
          <w:b/>
          <w:bCs/>
          <w:i/>
          <w:iCs/>
        </w:rPr>
        <w:t xml:space="preserve"> - PPH</w:t>
      </w:r>
    </w:p>
    <w:p w:rsidR="00721266" w:rsidRDefault="00721266" w:rsidP="00AC54BF">
      <w:pPr>
        <w:jc w:val="both"/>
      </w:pPr>
      <w:r w:rsidRPr="00721266">
        <w:t xml:space="preserve">Kısaca PPH olarak adlandırılan </w:t>
      </w:r>
      <w:r w:rsidR="00725A57" w:rsidRPr="00725A57">
        <w:t xml:space="preserve">Patent </w:t>
      </w:r>
      <w:proofErr w:type="spellStart"/>
      <w:r w:rsidR="00725A57" w:rsidRPr="00725A57">
        <w:t>Prosecution</w:t>
      </w:r>
      <w:proofErr w:type="spellEnd"/>
      <w:r w:rsidR="00725A57" w:rsidRPr="00725A57">
        <w:t xml:space="preserve"> </w:t>
      </w:r>
      <w:proofErr w:type="spellStart"/>
      <w:r w:rsidR="00725A57" w:rsidRPr="00725A57">
        <w:t>Highway</w:t>
      </w:r>
      <w:proofErr w:type="spellEnd"/>
      <w:r w:rsidRPr="00721266">
        <w:t xml:space="preserve">; patent ofislerinde karşılıklı işlem gören </w:t>
      </w:r>
      <w:r>
        <w:t xml:space="preserve">ve belirli şartları sağlayan </w:t>
      </w:r>
      <w:r w:rsidRPr="00721266">
        <w:t xml:space="preserve">başvuruların işlemlerinin </w:t>
      </w:r>
      <w:r w:rsidR="00E41C25">
        <w:t xml:space="preserve">ofisler arasında imzalanan ikili anlaşmalar yoluyla </w:t>
      </w:r>
      <w:r w:rsidRPr="00721266">
        <w:t>hızlandırıl</w:t>
      </w:r>
      <w:r>
        <w:t xml:space="preserve">dığı bir sistemdir. </w:t>
      </w:r>
    </w:p>
    <w:p w:rsidR="00721266" w:rsidRPr="00721266" w:rsidRDefault="00721266" w:rsidP="00AC54BF">
      <w:pPr>
        <w:jc w:val="both"/>
        <w:rPr>
          <w:lang w:val="en-GB"/>
        </w:rPr>
      </w:pPr>
      <w:r>
        <w:t xml:space="preserve">PPH sisteminin amacı; </w:t>
      </w:r>
      <w:r w:rsidRPr="00721266">
        <w:t xml:space="preserve">İlk Başvurunun Yapıldığı Ofis (İlk </w:t>
      </w:r>
      <w:r>
        <w:t xml:space="preserve">Başvuru </w:t>
      </w:r>
      <w:r w:rsidRPr="00721266">
        <w:t>Ofis</w:t>
      </w:r>
      <w:r>
        <w:t>i</w:t>
      </w:r>
      <w:r w:rsidRPr="00721266">
        <w:t>)</w:t>
      </w:r>
      <w:r>
        <w:t xml:space="preserve"> </w:t>
      </w:r>
      <w:r w:rsidRPr="00721266">
        <w:t xml:space="preserve">tarafından hazırlanan araştırma/inceleme dokümanlarının İkinci Başvurunun Yapıldığı Ofis (İkinci </w:t>
      </w:r>
      <w:r>
        <w:t xml:space="preserve">Başvuru </w:t>
      </w:r>
      <w:r w:rsidRPr="00721266">
        <w:t>Ofis</w:t>
      </w:r>
      <w:r>
        <w:t>i</w:t>
      </w:r>
      <w:r w:rsidRPr="00721266">
        <w:t xml:space="preserve">) </w:t>
      </w:r>
      <w:r>
        <w:t>tarafından kullanılarak</w:t>
      </w:r>
      <w:r w:rsidR="00AC54BF">
        <w:t>;</w:t>
      </w:r>
    </w:p>
    <w:p w:rsidR="00721266" w:rsidRPr="00721266" w:rsidRDefault="00721266" w:rsidP="00AC54BF">
      <w:pPr>
        <w:jc w:val="both"/>
        <w:rPr>
          <w:lang w:val="en-GB"/>
        </w:rPr>
      </w:pPr>
      <w:r w:rsidRPr="00721266">
        <w:tab/>
      </w:r>
      <w:r w:rsidRPr="00721266">
        <w:rPr>
          <w:lang w:val="en-GB"/>
        </w:rPr>
        <w:t>(</w:t>
      </w:r>
      <w:proofErr w:type="spellStart"/>
      <w:r w:rsidR="00AC54BF">
        <w:rPr>
          <w:lang w:val="en-GB"/>
        </w:rPr>
        <w:t>i</w:t>
      </w:r>
      <w:proofErr w:type="spellEnd"/>
      <w:r w:rsidRPr="00721266">
        <w:rPr>
          <w:lang w:val="en-GB"/>
        </w:rPr>
        <w:t xml:space="preserve">) </w:t>
      </w:r>
      <w:r w:rsidRPr="00721266">
        <w:t>Başvuru sahipleri açısından daha sağlam patent almalarının desteklenmesi</w:t>
      </w:r>
    </w:p>
    <w:p w:rsidR="00721266" w:rsidRPr="00721266" w:rsidRDefault="00721266" w:rsidP="00AC54BF">
      <w:pPr>
        <w:jc w:val="both"/>
        <w:rPr>
          <w:lang w:val="en-GB"/>
        </w:rPr>
      </w:pPr>
      <w:r w:rsidRPr="00721266">
        <w:tab/>
      </w:r>
      <w:r w:rsidRPr="00721266">
        <w:rPr>
          <w:lang w:val="en-GB"/>
        </w:rPr>
        <w:t>(</w:t>
      </w:r>
      <w:r w:rsidR="00AC54BF">
        <w:rPr>
          <w:lang w:val="en-GB"/>
        </w:rPr>
        <w:t>ii</w:t>
      </w:r>
      <w:r w:rsidRPr="00721266">
        <w:rPr>
          <w:lang w:val="en-GB"/>
        </w:rPr>
        <w:t xml:space="preserve">) </w:t>
      </w:r>
      <w:r w:rsidRPr="00721266">
        <w:t xml:space="preserve">Ofisler açısından araştırma </w:t>
      </w:r>
      <w:r w:rsidR="00AC54BF">
        <w:t>inceleme iş yükünün azaltılması</w:t>
      </w:r>
      <w:r w:rsidRPr="00721266">
        <w:t xml:space="preserve"> ve inceleme kalitesinin artırılması</w:t>
      </w:r>
      <w:r>
        <w:t>dır.</w:t>
      </w:r>
    </w:p>
    <w:p w:rsidR="004A1EC7" w:rsidRDefault="00721266" w:rsidP="00AC54BF">
      <w:pPr>
        <w:jc w:val="both"/>
      </w:pPr>
      <w:r>
        <w:t>PPH Sistemi kapsamında</w:t>
      </w:r>
      <w:r w:rsidRPr="00721266">
        <w:t xml:space="preserve">, </w:t>
      </w:r>
      <w:r w:rsidR="00E23719" w:rsidRPr="00721266">
        <w:t xml:space="preserve">İlk </w:t>
      </w:r>
      <w:r>
        <w:t xml:space="preserve">Başvuru </w:t>
      </w:r>
      <w:r w:rsidR="00E23719" w:rsidRPr="00721266">
        <w:t>Ofis</w:t>
      </w:r>
      <w:r>
        <w:t>i</w:t>
      </w:r>
      <w:r w:rsidR="00AC54BF">
        <w:t>ne yapılan bir başvurunun</w:t>
      </w:r>
      <w:r w:rsidR="00E23719" w:rsidRPr="00721266">
        <w:t xml:space="preserve"> istemleri</w:t>
      </w:r>
      <w:r w:rsidR="00AC54BF">
        <w:t xml:space="preserve">nden en az birinin </w:t>
      </w:r>
      <w:r w:rsidR="00AC54BF" w:rsidRPr="00721266">
        <w:t xml:space="preserve">İlk </w:t>
      </w:r>
      <w:r w:rsidR="00AC54BF">
        <w:t xml:space="preserve">Başvuru </w:t>
      </w:r>
      <w:r w:rsidR="00AC54BF" w:rsidRPr="00721266">
        <w:t>Ofis</w:t>
      </w:r>
      <w:r w:rsidR="00AC54BF">
        <w:t xml:space="preserve">i tarafından patentlenebilir </w:t>
      </w:r>
      <w:r w:rsidR="00E23719" w:rsidRPr="00721266">
        <w:t xml:space="preserve">olarak </w:t>
      </w:r>
      <w:r w:rsidR="00AC54BF">
        <w:t>değerlendirilmesi halinde,</w:t>
      </w:r>
      <w:r w:rsidR="00E23719" w:rsidRPr="00721266">
        <w:t xml:space="preserve"> </w:t>
      </w:r>
      <w:r w:rsidR="00AC54BF">
        <w:t xml:space="preserve">bu başvurunun karşılığının yapıldığı başvurunun </w:t>
      </w:r>
      <w:r w:rsidR="00AC54BF" w:rsidRPr="00721266">
        <w:t>incel</w:t>
      </w:r>
      <w:r w:rsidR="00AC54BF">
        <w:t xml:space="preserve">eme işlemleri, </w:t>
      </w:r>
      <w:r w:rsidR="00AC54BF" w:rsidRPr="00721266">
        <w:t>başvuru sahibinin talebi üzerine</w:t>
      </w:r>
      <w:r w:rsidR="00AC54BF">
        <w:t xml:space="preserve">, </w:t>
      </w:r>
      <w:r w:rsidR="00E23719" w:rsidRPr="00721266">
        <w:t xml:space="preserve">İkinci </w:t>
      </w:r>
      <w:r>
        <w:t xml:space="preserve">Başvuru </w:t>
      </w:r>
      <w:r w:rsidR="00E23719" w:rsidRPr="00721266">
        <w:t>Ofis</w:t>
      </w:r>
      <w:r>
        <w:t>i</w:t>
      </w:r>
      <w:r w:rsidR="00E23719" w:rsidRPr="00721266">
        <w:t xml:space="preserve"> tarafından </w:t>
      </w:r>
      <w:r>
        <w:t xml:space="preserve">hızlandırılmaktadır. </w:t>
      </w:r>
      <w:r w:rsidR="006D40D1">
        <w:t xml:space="preserve">PPH Sistemi kapsamında, Patent Ofisleri PPH, </w:t>
      </w:r>
      <w:r w:rsidR="006D40D1" w:rsidRPr="006D40D1">
        <w:t>PPH MOTTAINAI</w:t>
      </w:r>
      <w:r w:rsidR="006D40D1">
        <w:t xml:space="preserve"> ve PPH-PCT ve son olarak Global PPH olarak adlandırılan ikili ve çok uluslu anlaşmalar yapmaktadır. </w:t>
      </w:r>
    </w:p>
    <w:p w:rsidR="00886A11" w:rsidRDefault="00886A11" w:rsidP="00886A11">
      <w:r w:rsidRPr="00886A11">
        <w:rPr>
          <w:b/>
          <w:u w:val="single"/>
        </w:rPr>
        <w:t>PPH:</w:t>
      </w:r>
      <w:r>
        <w:t xml:space="preserve"> </w:t>
      </w:r>
    </w:p>
    <w:p w:rsidR="00886A11" w:rsidRDefault="00886A11" w:rsidP="00AC54BF">
      <w:pPr>
        <w:jc w:val="both"/>
        <w:rPr>
          <w:lang w:val="en-GB"/>
        </w:rPr>
      </w:pPr>
      <w:r w:rsidRPr="00721266">
        <w:t xml:space="preserve">İlk </w:t>
      </w:r>
      <w:r>
        <w:t xml:space="preserve">Başvuru </w:t>
      </w:r>
      <w:r w:rsidRPr="00721266">
        <w:t>Ofis</w:t>
      </w:r>
      <w:r>
        <w:t>i</w:t>
      </w:r>
      <w:r w:rsidRPr="00721266">
        <w:t xml:space="preserve"> </w:t>
      </w:r>
      <w:proofErr w:type="spellStart"/>
      <w:r w:rsidRPr="00886A11">
        <w:rPr>
          <w:lang w:val="en-GB"/>
        </w:rPr>
        <w:t>bir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başvurunun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patentlenebilir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olduğuna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karar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vermişse</w:t>
      </w:r>
      <w:proofErr w:type="spellEnd"/>
      <w:r w:rsidRPr="00886A11">
        <w:rPr>
          <w:lang w:val="en-GB"/>
        </w:rPr>
        <w:t xml:space="preserve">, </w:t>
      </w:r>
      <w:r w:rsidR="00AC54BF" w:rsidRPr="00721266">
        <w:t xml:space="preserve">İkinci </w:t>
      </w:r>
      <w:r w:rsidR="00AC54BF">
        <w:t xml:space="preserve">Başvuru </w:t>
      </w:r>
      <w:r w:rsidR="00AC54BF" w:rsidRPr="00721266">
        <w:t>Ofis</w:t>
      </w:r>
      <w:r w:rsidR="00AC54BF">
        <w:t>ine</w:t>
      </w:r>
      <w:r w:rsidR="00AC54BF" w:rsidRPr="00721266">
        <w:t xml:space="preserve"> </w:t>
      </w:r>
      <w:proofErr w:type="spellStart"/>
      <w:r w:rsidR="00AC54BF" w:rsidRPr="00886A11">
        <w:rPr>
          <w:lang w:val="en-GB"/>
        </w:rPr>
        <w:t>yapılan</w:t>
      </w:r>
      <w:proofErr w:type="spellEnd"/>
      <w:r w:rsidR="00AC54BF" w:rsidRPr="00886A11">
        <w:rPr>
          <w:lang w:val="en-GB"/>
        </w:rPr>
        <w:t xml:space="preserve"> </w:t>
      </w:r>
      <w:proofErr w:type="spellStart"/>
      <w:r w:rsidR="00AC54BF">
        <w:rPr>
          <w:lang w:val="en-GB"/>
        </w:rPr>
        <w:t>ve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bu</w:t>
      </w:r>
      <w:proofErr w:type="spellEnd"/>
      <w:r w:rsidR="00AC54BF">
        <w:rPr>
          <w:lang w:val="en-GB"/>
        </w:rPr>
        <w:t xml:space="preserve"> ilk</w:t>
      </w:r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başvuru</w:t>
      </w:r>
      <w:r w:rsidR="00AC54BF">
        <w:rPr>
          <w:lang w:val="en-GB"/>
        </w:rPr>
        <w:t>ya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karşılık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gelen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başvuru</w:t>
      </w:r>
      <w:proofErr w:type="spellEnd"/>
      <w:r w:rsidRPr="00886A11">
        <w:rPr>
          <w:lang w:val="en-GB"/>
        </w:rPr>
        <w:t xml:space="preserve"> (</w:t>
      </w:r>
      <w:proofErr w:type="spellStart"/>
      <w:r w:rsidRPr="00886A11">
        <w:rPr>
          <w:lang w:val="en-GB"/>
        </w:rPr>
        <w:t>ikinci</w:t>
      </w:r>
      <w:proofErr w:type="spellEnd"/>
      <w:r w:rsidRPr="00886A11">
        <w:rPr>
          <w:lang w:val="en-GB"/>
        </w:rPr>
        <w:t xml:space="preserve"> </w:t>
      </w:r>
      <w:proofErr w:type="spellStart"/>
      <w:r w:rsidRPr="00886A11">
        <w:rPr>
          <w:lang w:val="en-GB"/>
        </w:rPr>
        <w:t>başvuru</w:t>
      </w:r>
      <w:proofErr w:type="spellEnd"/>
      <w:r w:rsidRPr="00886A11">
        <w:rPr>
          <w:lang w:val="en-GB"/>
        </w:rPr>
        <w:t xml:space="preserve">), </w:t>
      </w:r>
      <w:r w:rsidR="00AC54BF" w:rsidRPr="00721266">
        <w:t xml:space="preserve">İkinci </w:t>
      </w:r>
      <w:r w:rsidR="00AC54BF">
        <w:t xml:space="preserve">Başvuru </w:t>
      </w:r>
      <w:r w:rsidR="00AC54BF" w:rsidRPr="00721266">
        <w:t>Ofis</w:t>
      </w:r>
      <w:r w:rsidR="00AC54BF">
        <w:t>inde</w:t>
      </w:r>
      <w:r w:rsidR="00AC54BF" w:rsidRPr="00721266">
        <w:t xml:space="preserve"> </w:t>
      </w:r>
      <w:proofErr w:type="spellStart"/>
      <w:r w:rsidRPr="00886A11">
        <w:rPr>
          <w:lang w:val="en-GB"/>
        </w:rPr>
        <w:t>hızlandırılmı</w:t>
      </w:r>
      <w:r w:rsidR="00AC54BF">
        <w:rPr>
          <w:lang w:val="en-GB"/>
        </w:rPr>
        <w:t>ş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inceleme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sürecinden</w:t>
      </w:r>
      <w:proofErr w:type="spellEnd"/>
      <w:r w:rsidR="00AC54BF">
        <w:rPr>
          <w:lang w:val="en-GB"/>
        </w:rPr>
        <w:t xml:space="preserve"> </w:t>
      </w:r>
      <w:proofErr w:type="spellStart"/>
      <w:r w:rsidR="00AC54BF">
        <w:rPr>
          <w:lang w:val="en-GB"/>
        </w:rPr>
        <w:t>yararlanmaktadır</w:t>
      </w:r>
      <w:proofErr w:type="spellEnd"/>
      <w:r w:rsidRPr="00886A11">
        <w:rPr>
          <w:lang w:val="en-GB"/>
        </w:rPr>
        <w:t xml:space="preserve">. </w:t>
      </w:r>
    </w:p>
    <w:p w:rsidR="00DF6D0B" w:rsidRPr="00886A11" w:rsidRDefault="00DF6D0B" w:rsidP="00886A11">
      <w:pPr>
        <w:rPr>
          <w:lang w:val="en-GB"/>
        </w:rPr>
      </w:pPr>
    </w:p>
    <w:p w:rsidR="00721266" w:rsidRDefault="00BC4C55" w:rsidP="00721266">
      <w:r>
        <w:rPr>
          <w:noProof/>
          <w:lang w:val="en-GB" w:eastAsia="en-GB"/>
        </w:rPr>
        <w:drawing>
          <wp:inline distT="0" distB="0" distL="0" distR="0">
            <wp:extent cx="5753100" cy="13335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0B" w:rsidRDefault="00DF6D0B" w:rsidP="00721266"/>
    <w:p w:rsidR="00432FC7" w:rsidRDefault="00432FC7" w:rsidP="00886A11">
      <w:pPr>
        <w:rPr>
          <w:b/>
          <w:u w:val="single"/>
        </w:rPr>
      </w:pPr>
      <w:r w:rsidRPr="00432FC7">
        <w:rPr>
          <w:b/>
          <w:u w:val="single"/>
        </w:rPr>
        <w:t>PPH MOTTAINAI</w:t>
      </w:r>
    </w:p>
    <w:p w:rsidR="00E75DD4" w:rsidRDefault="00432FC7" w:rsidP="00AC54BF">
      <w:pPr>
        <w:jc w:val="both"/>
      </w:pPr>
      <w:r w:rsidRPr="00432FC7">
        <w:rPr>
          <w:lang w:val="en-GB"/>
        </w:rPr>
        <w:t xml:space="preserve">PPH </w:t>
      </w:r>
      <w:proofErr w:type="spellStart"/>
      <w:r w:rsidRPr="00432FC7">
        <w:rPr>
          <w:lang w:val="en-GB"/>
        </w:rPr>
        <w:t>Sisteminde</w:t>
      </w:r>
      <w:proofErr w:type="spellEnd"/>
      <w:r w:rsidRPr="00432FC7">
        <w:rPr>
          <w:lang w:val="en-GB"/>
        </w:rPr>
        <w:t xml:space="preserve">, </w:t>
      </w:r>
      <w:r>
        <w:rPr>
          <w:lang w:val="en-GB"/>
        </w:rPr>
        <w:t xml:space="preserve">patent </w:t>
      </w:r>
      <w:proofErr w:type="spellStart"/>
      <w:r>
        <w:rPr>
          <w:lang w:val="en-GB"/>
        </w:rPr>
        <w:t>işlemlerinin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hızlandırılması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talebi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sadece</w:t>
      </w:r>
      <w:proofErr w:type="spellEnd"/>
      <w:r>
        <w:rPr>
          <w:lang w:val="en-GB"/>
        </w:rPr>
        <w:t xml:space="preserve"> </w:t>
      </w:r>
      <w:r w:rsidRPr="00721266">
        <w:t xml:space="preserve">İlk </w:t>
      </w:r>
      <w:r>
        <w:t xml:space="preserve">Başvuru </w:t>
      </w:r>
      <w:r w:rsidRPr="00721266">
        <w:t>Ofis</w:t>
      </w:r>
      <w:r>
        <w:t>i tarafından yapılan inceleme sonuçlarına (patentlenebilir kararına) dayanılarak yapılabilmektedir.</w:t>
      </w:r>
      <w:r w:rsidR="00E75DD4">
        <w:t xml:space="preserve"> PPH talebi yapılmasında</w:t>
      </w:r>
      <w:r>
        <w:t xml:space="preserve"> böyle bir kısıtlama olması</w:t>
      </w:r>
      <w:r w:rsidR="00E75DD4">
        <w:t xml:space="preserve">, </w:t>
      </w:r>
      <w:r w:rsidR="00B75EA2">
        <w:t xml:space="preserve">daha önceden hazırlanmış ve </w:t>
      </w:r>
      <w:r w:rsidR="00E75DD4">
        <w:t xml:space="preserve">kullanılabilecek </w:t>
      </w:r>
      <w:r w:rsidR="00B75EA2">
        <w:t xml:space="preserve">durumda </w:t>
      </w:r>
      <w:r w:rsidR="00E75DD4">
        <w:t xml:space="preserve">olan inceleme sonuçlarının uluslararası düzeyde tam olarak değerlendirilememesine, dolayısıyla,  </w:t>
      </w:r>
      <w:proofErr w:type="spellStart"/>
      <w:r w:rsidR="00E75DD4">
        <w:t>Japonca’da</w:t>
      </w:r>
      <w:proofErr w:type="spellEnd"/>
      <w:r w:rsidR="00E75DD4">
        <w:t xml:space="preserve"> “</w:t>
      </w:r>
      <w:proofErr w:type="spellStart"/>
      <w:r w:rsidR="00E75DD4" w:rsidRPr="00E75DD4">
        <w:rPr>
          <w:i/>
          <w:color w:val="000000"/>
          <w:sz w:val="21"/>
          <w:szCs w:val="21"/>
          <w:lang w:val="en"/>
        </w:rPr>
        <w:t>mottainai</w:t>
      </w:r>
      <w:proofErr w:type="spellEnd"/>
      <w:r w:rsidR="00E75DD4">
        <w:rPr>
          <w:i/>
          <w:color w:val="000000"/>
          <w:sz w:val="21"/>
          <w:szCs w:val="21"/>
          <w:lang w:val="en"/>
        </w:rPr>
        <w:t>”</w:t>
      </w:r>
      <w:r w:rsidR="00E75DD4">
        <w:rPr>
          <w:color w:val="000000"/>
          <w:sz w:val="21"/>
          <w:szCs w:val="21"/>
          <w:lang w:val="en"/>
        </w:rPr>
        <w:t xml:space="preserve"> </w:t>
      </w:r>
      <w:proofErr w:type="spellStart"/>
      <w:r w:rsidR="00E75DD4">
        <w:rPr>
          <w:color w:val="000000"/>
          <w:sz w:val="21"/>
          <w:szCs w:val="21"/>
          <w:lang w:val="en"/>
        </w:rPr>
        <w:t>olarak</w:t>
      </w:r>
      <w:proofErr w:type="spellEnd"/>
      <w:r w:rsidR="00E75DD4">
        <w:rPr>
          <w:color w:val="000000"/>
          <w:sz w:val="21"/>
          <w:szCs w:val="21"/>
          <w:lang w:val="en"/>
        </w:rPr>
        <w:t xml:space="preserve"> </w:t>
      </w:r>
      <w:proofErr w:type="spellStart"/>
      <w:r w:rsidR="00E75DD4">
        <w:rPr>
          <w:color w:val="000000"/>
          <w:sz w:val="21"/>
          <w:szCs w:val="21"/>
          <w:lang w:val="en"/>
        </w:rPr>
        <w:t>adlandırılan</w:t>
      </w:r>
      <w:proofErr w:type="spellEnd"/>
      <w:r>
        <w:t xml:space="preserve"> “israf edilme, boşa ziyan edilme”</w:t>
      </w:r>
      <w:r w:rsidR="00E75DD4">
        <w:t xml:space="preserve"> durumuna sebep olmaktadır. </w:t>
      </w:r>
    </w:p>
    <w:p w:rsidR="00432FC7" w:rsidRDefault="00E75DD4" w:rsidP="00AC54BF">
      <w:pPr>
        <w:jc w:val="both"/>
      </w:pPr>
      <w:r>
        <w:t xml:space="preserve">PPH </w:t>
      </w:r>
      <w:r w:rsidRPr="00E75DD4">
        <w:t>MOTTAINAI</w:t>
      </w:r>
      <w:r>
        <w:t xml:space="preserve"> sisteminde ise, başvuru sahibi daha geç inceleme yapan ofise</w:t>
      </w:r>
      <w:r w:rsidR="00B75EA2">
        <w:t xml:space="preserve"> (</w:t>
      </w:r>
      <w:r w:rsidR="00B75EA2">
        <w:rPr>
          <w:color w:val="000000"/>
          <w:sz w:val="21"/>
          <w:szCs w:val="21"/>
          <w:lang w:val="en"/>
        </w:rPr>
        <w:t>Office of Later Examination (OLE))</w:t>
      </w:r>
      <w:r>
        <w:t>, erken inceleme yapan bir ofisin</w:t>
      </w:r>
      <w:r w:rsidR="00B75EA2">
        <w:t xml:space="preserve"> (</w:t>
      </w:r>
      <w:r w:rsidR="00B75EA2">
        <w:rPr>
          <w:color w:val="000000"/>
          <w:sz w:val="21"/>
          <w:szCs w:val="21"/>
          <w:lang w:val="en"/>
        </w:rPr>
        <w:t xml:space="preserve">Office of Earlier Examination (OEE)), </w:t>
      </w:r>
      <w:r>
        <w:t xml:space="preserve"> inceleme sonucunu </w:t>
      </w:r>
      <w:r w:rsidR="00B75EA2">
        <w:t xml:space="preserve">(patentlenebilir kararını) sunarak </w:t>
      </w:r>
      <w:r>
        <w:t xml:space="preserve">PPH talebi yapabilmektedir. </w:t>
      </w:r>
      <w:r w:rsidR="00B75EA2">
        <w:t xml:space="preserve">Bu talebin kabul edilebilmesi için, OEE ve OLE arasında PPH </w:t>
      </w:r>
      <w:r w:rsidR="00B75EA2" w:rsidRPr="00E75DD4">
        <w:t>MOTTAINAI</w:t>
      </w:r>
      <w:r w:rsidR="00B75EA2">
        <w:t xml:space="preserve"> anlaşması yapılmış olması gerekmektedir. </w:t>
      </w:r>
      <w:r>
        <w:t xml:space="preserve">Bu nedenle, bu sistem </w:t>
      </w:r>
      <w:r w:rsidRPr="00E75DD4">
        <w:t>PPH MOTTAINAI</w:t>
      </w:r>
      <w:r>
        <w:t xml:space="preserve"> olarak adlandırılmaktadır.</w:t>
      </w:r>
    </w:p>
    <w:p w:rsidR="00DF6D0B" w:rsidRPr="00432FC7" w:rsidRDefault="00DF6D0B" w:rsidP="00886A11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53100" cy="21145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11" w:rsidRPr="00886A11" w:rsidRDefault="00886A11" w:rsidP="00886A11">
      <w:pPr>
        <w:rPr>
          <w:b/>
          <w:u w:val="single"/>
        </w:rPr>
      </w:pPr>
      <w:r w:rsidRPr="00886A11">
        <w:rPr>
          <w:b/>
          <w:u w:val="single"/>
        </w:rPr>
        <w:t xml:space="preserve">PPH - PCT  </w:t>
      </w:r>
    </w:p>
    <w:p w:rsidR="00886A11" w:rsidRDefault="00886A11" w:rsidP="00886A11">
      <w:r w:rsidRPr="00886A11">
        <w:t>Bir PCT başvuru</w:t>
      </w:r>
      <w:r>
        <w:t>su</w:t>
      </w:r>
      <w:r w:rsidRPr="00886A11">
        <w:t>nun uluslararası aşamada patentlenebilir olduğuna karar ver</w:t>
      </w:r>
      <w:r>
        <w:t>il</w:t>
      </w:r>
      <w:r w:rsidRPr="00886A11">
        <w:t xml:space="preserve">mişse, ulusal aşamaya giriş yapan karşılığı (ikinci başvuru), hızlandırılmış inceleme sürecinden yararlanır. </w:t>
      </w:r>
    </w:p>
    <w:p w:rsidR="00886A11" w:rsidRPr="00886A11" w:rsidRDefault="00886A11" w:rsidP="00886A11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5753100" cy="20859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11" w:rsidRDefault="00886A11" w:rsidP="00886A11">
      <w:pPr>
        <w:rPr>
          <w:b/>
          <w:u w:val="single"/>
        </w:rPr>
      </w:pPr>
      <w:r w:rsidRPr="00886A11">
        <w:rPr>
          <w:b/>
          <w:u w:val="single"/>
        </w:rPr>
        <w:t>PPH talebi için gerekli koşullar</w:t>
      </w:r>
      <w:r w:rsidR="006F46CB">
        <w:rPr>
          <w:b/>
          <w:u w:val="single"/>
        </w:rPr>
        <w:t>:</w:t>
      </w:r>
      <w:r w:rsidRPr="00886A11">
        <w:rPr>
          <w:b/>
          <w:u w:val="single"/>
        </w:rPr>
        <w:t xml:space="preserve"> </w:t>
      </w:r>
    </w:p>
    <w:p w:rsidR="00886A11" w:rsidRPr="00886A11" w:rsidRDefault="00886A11" w:rsidP="00886A11">
      <w:pPr>
        <w:rPr>
          <w:lang w:val="en-GB"/>
        </w:rPr>
      </w:pPr>
      <w:r w:rsidRPr="00721266">
        <w:t xml:space="preserve">İkinci </w:t>
      </w:r>
      <w:r>
        <w:t xml:space="preserve">Başvuru </w:t>
      </w:r>
      <w:r w:rsidRPr="00721266">
        <w:t>Ofis</w:t>
      </w:r>
      <w:r>
        <w:t xml:space="preserve">inde </w:t>
      </w:r>
      <w:r w:rsidRPr="00886A11">
        <w:t>bir başvurunun PPH ile hızlı incelemeden yararlanabilmesi için:</w:t>
      </w:r>
    </w:p>
    <w:p w:rsidR="004A1EC7" w:rsidRPr="00886A11" w:rsidRDefault="00E23719" w:rsidP="00886A11">
      <w:pPr>
        <w:numPr>
          <w:ilvl w:val="0"/>
          <w:numId w:val="2"/>
        </w:numPr>
        <w:rPr>
          <w:lang w:val="en-GB"/>
        </w:rPr>
      </w:pPr>
      <w:r w:rsidRPr="00886A11">
        <w:t xml:space="preserve">Başvurunun istemlerinin, </w:t>
      </w:r>
      <w:r w:rsidR="00886A11" w:rsidRPr="00886A11">
        <w:t xml:space="preserve">İlk </w:t>
      </w:r>
      <w:r w:rsidR="00886A11">
        <w:t xml:space="preserve">Başvuru </w:t>
      </w:r>
      <w:r w:rsidR="00886A11" w:rsidRPr="00886A11">
        <w:t>Ofis</w:t>
      </w:r>
      <w:r w:rsidR="00886A11">
        <w:t>i</w:t>
      </w:r>
      <w:r w:rsidR="00886A11" w:rsidRPr="00886A11">
        <w:t xml:space="preserve"> </w:t>
      </w:r>
      <w:r w:rsidRPr="00886A11">
        <w:t xml:space="preserve">tarafından </w:t>
      </w:r>
      <w:proofErr w:type="spellStart"/>
      <w:r w:rsidRPr="00886A11">
        <w:t>patentlenebilirlik</w:t>
      </w:r>
      <w:proofErr w:type="spellEnd"/>
      <w:r w:rsidRPr="00886A11">
        <w:t xml:space="preserve"> değerlendirilmesi yapılmış olmalı,</w:t>
      </w:r>
    </w:p>
    <w:p w:rsidR="004A1EC7" w:rsidRPr="00886A11" w:rsidRDefault="00886A11" w:rsidP="00886A11">
      <w:pPr>
        <w:numPr>
          <w:ilvl w:val="0"/>
          <w:numId w:val="2"/>
        </w:numPr>
        <w:rPr>
          <w:lang w:val="en-GB"/>
        </w:rPr>
      </w:pPr>
      <w:r w:rsidRPr="00721266">
        <w:t xml:space="preserve">İkinci </w:t>
      </w:r>
      <w:r>
        <w:t xml:space="preserve">Başvuru </w:t>
      </w:r>
      <w:r w:rsidR="00E23719" w:rsidRPr="00886A11">
        <w:t>Ofis</w:t>
      </w:r>
      <w:r>
        <w:t>in</w:t>
      </w:r>
      <w:r w:rsidR="00E23719" w:rsidRPr="00886A11">
        <w:t xml:space="preserve">e yapılan başvurunun istemleri, İlk </w:t>
      </w:r>
      <w:r>
        <w:t xml:space="preserve">Başvuru </w:t>
      </w:r>
      <w:r w:rsidR="00E23719" w:rsidRPr="00886A11">
        <w:t>Ofis</w:t>
      </w:r>
      <w:r>
        <w:t>i</w:t>
      </w:r>
      <w:r w:rsidR="00E23719" w:rsidRPr="00886A11">
        <w:t xml:space="preserve"> tarafından patentlenebilir olarak değerlendirilen istemlerle uyuşmalı (istemlerin uyuşması için, </w:t>
      </w:r>
      <w:r w:rsidRPr="00721266">
        <w:t xml:space="preserve">İkinci </w:t>
      </w:r>
      <w:r>
        <w:t xml:space="preserve">Başvuru </w:t>
      </w:r>
      <w:r w:rsidRPr="00886A11">
        <w:t>Ofis</w:t>
      </w:r>
      <w:r>
        <w:t>in</w:t>
      </w:r>
      <w:r w:rsidRPr="00886A11">
        <w:t xml:space="preserve">e yapılan başvurunun </w:t>
      </w:r>
      <w:r w:rsidR="00E23719" w:rsidRPr="00886A11">
        <w:t>istemlerin</w:t>
      </w:r>
      <w:r>
        <w:t>in</w:t>
      </w:r>
      <w:r w:rsidR="00E23719" w:rsidRPr="00886A11">
        <w:t xml:space="preserve">, </w:t>
      </w:r>
      <w:r w:rsidRPr="00886A11">
        <w:t xml:space="preserve">İlk </w:t>
      </w:r>
      <w:r>
        <w:t xml:space="preserve">Başvuru </w:t>
      </w:r>
      <w:r w:rsidRPr="00886A11">
        <w:t>Ofis</w:t>
      </w:r>
      <w:r>
        <w:t>ine</w:t>
      </w:r>
      <w:r w:rsidRPr="00886A11">
        <w:t xml:space="preserve"> </w:t>
      </w:r>
      <w:r w:rsidR="00E23719" w:rsidRPr="00886A11">
        <w:t>yapılan başvurunun istemlerinden içerik olarak farklı olmaması gereklidir),</w:t>
      </w:r>
    </w:p>
    <w:p w:rsidR="004A1EC7" w:rsidRPr="00886A11" w:rsidRDefault="00E23719" w:rsidP="00886A11">
      <w:pPr>
        <w:numPr>
          <w:ilvl w:val="0"/>
          <w:numId w:val="2"/>
        </w:numPr>
        <w:rPr>
          <w:lang w:val="en-GB"/>
        </w:rPr>
      </w:pPr>
      <w:r w:rsidRPr="00886A11">
        <w:t xml:space="preserve">İkinci </w:t>
      </w:r>
      <w:r w:rsidR="00886A11">
        <w:t xml:space="preserve">Başvuru </w:t>
      </w:r>
      <w:r w:rsidRPr="00886A11">
        <w:t>Ofis</w:t>
      </w:r>
      <w:r w:rsidR="00886A11">
        <w:t>i</w:t>
      </w:r>
      <w:r w:rsidRPr="00886A11">
        <w:t xml:space="preserve">, araştırma/inceleme </w:t>
      </w:r>
      <w:proofErr w:type="gramStart"/>
      <w:r w:rsidRPr="00886A11">
        <w:t>prosedürüne</w:t>
      </w:r>
      <w:proofErr w:type="gramEnd"/>
      <w:r w:rsidRPr="00886A11">
        <w:t xml:space="preserve"> başlamamış olmalı</w:t>
      </w:r>
    </w:p>
    <w:p w:rsidR="004A1EC7" w:rsidRPr="00886A11" w:rsidRDefault="00E23719" w:rsidP="00886A11">
      <w:pPr>
        <w:numPr>
          <w:ilvl w:val="0"/>
          <w:numId w:val="2"/>
        </w:numPr>
        <w:rPr>
          <w:lang w:val="en-GB"/>
        </w:rPr>
      </w:pPr>
      <w:r w:rsidRPr="00886A11">
        <w:t xml:space="preserve">Başvuru sahibi tarafından PPH talebi yapılmış olmalı </w:t>
      </w:r>
    </w:p>
    <w:p w:rsidR="00886A11" w:rsidRPr="00886A11" w:rsidRDefault="00886A11" w:rsidP="00886A11">
      <w:pPr>
        <w:rPr>
          <w:lang w:val="en-GB"/>
        </w:rPr>
      </w:pPr>
      <w:r w:rsidRPr="00886A11">
        <w:t xml:space="preserve">Gerekli koşullar sağlanmıyorsa (örneğin, İlk </w:t>
      </w:r>
      <w:r>
        <w:t xml:space="preserve">Başvuru </w:t>
      </w:r>
      <w:r w:rsidRPr="00886A11">
        <w:t>Ofis</w:t>
      </w:r>
      <w:r>
        <w:t>i</w:t>
      </w:r>
      <w:r w:rsidRPr="00886A11">
        <w:t xml:space="preserve"> istemleri ile </w:t>
      </w:r>
      <w:r w:rsidRPr="00721266">
        <w:t xml:space="preserve">İkinci </w:t>
      </w:r>
      <w:r>
        <w:t xml:space="preserve">Başvuru </w:t>
      </w:r>
      <w:r w:rsidRPr="00886A11">
        <w:t>Ofis</w:t>
      </w:r>
      <w:r>
        <w:t xml:space="preserve">i </w:t>
      </w:r>
      <w:r w:rsidRPr="00886A11">
        <w:t xml:space="preserve">istemleri uyuşmuyorsa), PPH uyarınca hızlandırılmış inceleme talebi işleme alınmaz. </w:t>
      </w:r>
    </w:p>
    <w:p w:rsidR="00886A11" w:rsidRPr="00886A11" w:rsidRDefault="00886A11" w:rsidP="00886A11">
      <w:pPr>
        <w:rPr>
          <w:b/>
          <w:u w:val="single"/>
          <w:lang w:val="en-GB"/>
        </w:rPr>
      </w:pPr>
      <w:r w:rsidRPr="00886A11">
        <w:rPr>
          <w:b/>
          <w:bCs/>
          <w:u w:val="single"/>
        </w:rPr>
        <w:t>PPH talebi için gerekli belgeler</w:t>
      </w:r>
      <w:r w:rsidR="006F46CB">
        <w:rPr>
          <w:b/>
          <w:bCs/>
          <w:u w:val="single"/>
          <w:lang w:val="en-GB"/>
        </w:rPr>
        <w:t>:</w:t>
      </w:r>
      <w:r w:rsidRPr="00886A11">
        <w:rPr>
          <w:b/>
          <w:bCs/>
          <w:u w:val="single"/>
        </w:rPr>
        <w:t xml:space="preserve"> </w:t>
      </w:r>
    </w:p>
    <w:p w:rsidR="00886A11" w:rsidRPr="00886A11" w:rsidRDefault="00886A11" w:rsidP="00886A11">
      <w:pPr>
        <w:rPr>
          <w:lang w:val="en-GB"/>
        </w:rPr>
      </w:pPr>
      <w:r w:rsidRPr="00886A11">
        <w:t>PPH için gerekli şartları taşımak koşuluyla, PPH talebine aşağıdaki dokümanlar eklenir:</w:t>
      </w:r>
    </w:p>
    <w:p w:rsidR="004A1EC7" w:rsidRPr="00886A11" w:rsidRDefault="00886A11" w:rsidP="00886A11">
      <w:pPr>
        <w:numPr>
          <w:ilvl w:val="0"/>
          <w:numId w:val="3"/>
        </w:numPr>
        <w:rPr>
          <w:lang w:val="en-GB"/>
        </w:rPr>
      </w:pPr>
      <w:r w:rsidRPr="00886A11">
        <w:lastRenderedPageBreak/>
        <w:t xml:space="preserve">İlk </w:t>
      </w:r>
      <w:r>
        <w:t xml:space="preserve">Başvuru </w:t>
      </w:r>
      <w:r w:rsidRPr="00886A11">
        <w:t>Ofis</w:t>
      </w:r>
      <w:r>
        <w:t>i</w:t>
      </w:r>
      <w:r w:rsidRPr="00886A11">
        <w:t xml:space="preserve"> </w:t>
      </w:r>
      <w:r w:rsidR="00E23719" w:rsidRPr="00886A11">
        <w:t>tarafından yapılan işlemlerin ve incelemesi yapılan istemlerin (gerektiğinde çeviriler ile birlikte) bir kopyası</w:t>
      </w:r>
      <w:r w:rsidR="00973567">
        <w:t>,</w:t>
      </w:r>
    </w:p>
    <w:p w:rsidR="004A1EC7" w:rsidRPr="00886A11" w:rsidRDefault="00973567" w:rsidP="00886A11">
      <w:pPr>
        <w:numPr>
          <w:ilvl w:val="0"/>
          <w:numId w:val="3"/>
        </w:numPr>
        <w:rPr>
          <w:lang w:val="en-GB"/>
        </w:rPr>
      </w:pPr>
      <w:r w:rsidRPr="00886A11">
        <w:t xml:space="preserve">İlk </w:t>
      </w:r>
      <w:r>
        <w:t xml:space="preserve">Başvuru </w:t>
      </w:r>
      <w:r w:rsidRPr="00886A11">
        <w:t>Ofis</w:t>
      </w:r>
      <w:r>
        <w:t>i</w:t>
      </w:r>
      <w:r w:rsidRPr="00886A11">
        <w:t xml:space="preserve"> </w:t>
      </w:r>
      <w:r w:rsidR="00E23719" w:rsidRPr="00886A11">
        <w:t>tarafından belirtilen referans dokümanlar</w:t>
      </w:r>
      <w:r>
        <w:t>,</w:t>
      </w:r>
    </w:p>
    <w:p w:rsidR="004A1EC7" w:rsidRPr="00886A11" w:rsidRDefault="00E23719" w:rsidP="00886A11">
      <w:pPr>
        <w:numPr>
          <w:ilvl w:val="0"/>
          <w:numId w:val="3"/>
        </w:numPr>
        <w:rPr>
          <w:lang w:val="en-GB"/>
        </w:rPr>
      </w:pPr>
      <w:r w:rsidRPr="00886A11">
        <w:t xml:space="preserve">İkinci </w:t>
      </w:r>
      <w:r w:rsidR="00973567">
        <w:t xml:space="preserve">Başvuru </w:t>
      </w:r>
      <w:r w:rsidRPr="00886A11">
        <w:t>Ofis</w:t>
      </w:r>
      <w:r w:rsidR="00973567">
        <w:t>in</w:t>
      </w:r>
      <w:r w:rsidRPr="00886A11">
        <w:t>e</w:t>
      </w:r>
      <w:r w:rsidR="00973567">
        <w:t xml:space="preserve"> yapılan başvurunun istemlerine karşılık gelen ve</w:t>
      </w:r>
      <w:r w:rsidRPr="00886A11">
        <w:t xml:space="preserve"> İlk </w:t>
      </w:r>
      <w:r w:rsidR="00973567">
        <w:t xml:space="preserve">Başvuru </w:t>
      </w:r>
      <w:r w:rsidRPr="00886A11">
        <w:t>Ofis</w:t>
      </w:r>
      <w:r w:rsidR="00973567">
        <w:t xml:space="preserve">i tarafından </w:t>
      </w:r>
      <w:r w:rsidRPr="00886A11">
        <w:t xml:space="preserve">patentlenebilir olarak değerlendirilen </w:t>
      </w:r>
      <w:r w:rsidR="00973567">
        <w:t>istemlerin belirtilmesi</w:t>
      </w:r>
      <w:r w:rsidRPr="00886A11">
        <w:t>,</w:t>
      </w:r>
    </w:p>
    <w:p w:rsidR="004A1EC7" w:rsidRPr="00973567" w:rsidRDefault="00E23719" w:rsidP="00886A11">
      <w:pPr>
        <w:numPr>
          <w:ilvl w:val="0"/>
          <w:numId w:val="3"/>
        </w:numPr>
        <w:rPr>
          <w:lang w:val="en-GB"/>
        </w:rPr>
      </w:pPr>
      <w:r w:rsidRPr="00886A11">
        <w:t>Gerektiğinde, hızlandırılmış başvuru ücretinin ödenmiş olması</w:t>
      </w:r>
    </w:p>
    <w:p w:rsidR="00973567" w:rsidRPr="00973567" w:rsidRDefault="00973567" w:rsidP="00973567">
      <w:pPr>
        <w:rPr>
          <w:b/>
          <w:bCs/>
          <w:u w:val="single"/>
        </w:rPr>
      </w:pPr>
      <w:r w:rsidRPr="00973567">
        <w:rPr>
          <w:b/>
          <w:bCs/>
          <w:u w:val="single"/>
        </w:rPr>
        <w:t xml:space="preserve">PPH talebinin değerlendirilmesi </w:t>
      </w:r>
    </w:p>
    <w:p w:rsidR="00973567" w:rsidRDefault="00973567" w:rsidP="006F46CB">
      <w:pPr>
        <w:jc w:val="both"/>
      </w:pPr>
      <w:r w:rsidRPr="00973567">
        <w:t xml:space="preserve">İkinci </w:t>
      </w:r>
      <w:r>
        <w:t xml:space="preserve">Başvuru </w:t>
      </w:r>
      <w:r w:rsidRPr="00973567">
        <w:t>Ofis</w:t>
      </w:r>
      <w:r>
        <w:t>i,</w:t>
      </w:r>
      <w:r w:rsidRPr="00973567">
        <w:t xml:space="preserve"> başvurunun PPH uyarınca incelenip incelenmeyeceği konusunda kararını verir. </w:t>
      </w:r>
      <w:r w:rsidR="008E579E">
        <w:t>PPH talebi kabul edilirse,</w:t>
      </w:r>
      <w:r w:rsidRPr="00973567">
        <w:t xml:space="preserve"> İkinci </w:t>
      </w:r>
      <w:r>
        <w:t xml:space="preserve">Başvuru </w:t>
      </w:r>
      <w:r w:rsidRPr="00973567">
        <w:t>Ofis</w:t>
      </w:r>
      <w:r>
        <w:t>i</w:t>
      </w:r>
      <w:r w:rsidRPr="00973567">
        <w:t xml:space="preserve"> </w:t>
      </w:r>
      <w:r>
        <w:t xml:space="preserve">incelemeye ilişkin ilk bildirimini </w:t>
      </w:r>
      <w:r w:rsidRPr="00973567">
        <w:t xml:space="preserve">başvuru sahibine </w:t>
      </w:r>
      <w:r>
        <w:t xml:space="preserve">hızlandırılmış şekilde </w:t>
      </w:r>
      <w:r w:rsidRPr="00973567">
        <w:t>yapar.</w:t>
      </w:r>
      <w:r>
        <w:t xml:space="preserve"> </w:t>
      </w:r>
      <w:r w:rsidRPr="00973567">
        <w:t xml:space="preserve">İlk bildirimden sonra başvuru İkinci Ofisin inceleme </w:t>
      </w:r>
      <w:proofErr w:type="gramStart"/>
      <w:r w:rsidRPr="00973567">
        <w:t>prosedüründeki</w:t>
      </w:r>
      <w:proofErr w:type="gramEnd"/>
      <w:r w:rsidRPr="00973567">
        <w:t xml:space="preserve"> sürelere göre değerlendirilir.</w:t>
      </w:r>
    </w:p>
    <w:p w:rsidR="009862D6" w:rsidRDefault="009862D6" w:rsidP="00973567">
      <w:r>
        <w:t xml:space="preserve">PPH ile ilgili daha fazla bilgi için </w:t>
      </w:r>
      <w:hyperlink r:id="rId8" w:history="1">
        <w:r w:rsidRPr="00D51651">
          <w:rPr>
            <w:rStyle w:val="Kpr"/>
          </w:rPr>
          <w:t xml:space="preserve">PPH Resmi </w:t>
        </w:r>
        <w:r w:rsidR="00D51651" w:rsidRPr="00D51651">
          <w:rPr>
            <w:rStyle w:val="Kpr"/>
          </w:rPr>
          <w:t>internet sitesini</w:t>
        </w:r>
      </w:hyperlink>
      <w:r w:rsidR="00D51651">
        <w:t xml:space="preserve"> ziyaret ediniz.</w:t>
      </w:r>
    </w:p>
    <w:p w:rsidR="009862D6" w:rsidRDefault="009020A4" w:rsidP="00973567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TÜRKPATENT’in</w:t>
      </w:r>
      <w:proofErr w:type="spellEnd"/>
      <w:r>
        <w:rPr>
          <w:b/>
          <w:bCs/>
          <w:u w:val="single"/>
        </w:rPr>
        <w:t xml:space="preserve"> </w:t>
      </w:r>
      <w:r w:rsidR="009862D6" w:rsidRPr="009862D6">
        <w:rPr>
          <w:b/>
          <w:bCs/>
          <w:u w:val="single"/>
        </w:rPr>
        <w:t xml:space="preserve">İkili PPH Pilot </w:t>
      </w:r>
      <w:r>
        <w:rPr>
          <w:b/>
          <w:bCs/>
          <w:u w:val="single"/>
        </w:rPr>
        <w:t>Anlaşması Yaptığı</w:t>
      </w:r>
      <w:r w:rsidR="009862D6" w:rsidRPr="009862D6">
        <w:rPr>
          <w:b/>
          <w:bCs/>
          <w:u w:val="single"/>
        </w:rPr>
        <w:t xml:space="preserve"> Ülkeler</w:t>
      </w:r>
      <w:r w:rsidR="009862D6">
        <w:rPr>
          <w:b/>
          <w:bCs/>
          <w:u w:val="single"/>
        </w:rPr>
        <w:t>:</w:t>
      </w:r>
    </w:p>
    <w:p w:rsidR="00D51651" w:rsidRPr="009862D6" w:rsidRDefault="009862D6" w:rsidP="00A31A99">
      <w:pPr>
        <w:jc w:val="both"/>
      </w:pPr>
      <w:r w:rsidRPr="009862D6">
        <w:t>TÜRKPATENT</w:t>
      </w:r>
      <w:r w:rsidR="00D51651">
        <w:t xml:space="preserve"> ile</w:t>
      </w:r>
      <w:r w:rsidRPr="009862D6">
        <w:t xml:space="preserve"> PPH Pilot Anlaşması</w:t>
      </w:r>
      <w:r>
        <w:t xml:space="preserve"> </w:t>
      </w:r>
      <w:r w:rsidR="00D51651">
        <w:t xml:space="preserve">yapan Ofisler ile ilgili PPH başvuru </w:t>
      </w:r>
      <w:proofErr w:type="gramStart"/>
      <w:r w:rsidR="00D51651">
        <w:t>prosedürleri</w:t>
      </w:r>
      <w:r w:rsidR="00A31A99">
        <w:t>ne</w:t>
      </w:r>
      <w:proofErr w:type="gramEnd"/>
      <w:r w:rsidR="00A31A99">
        <w:t xml:space="preserve"> ilişkin </w:t>
      </w:r>
      <w:proofErr w:type="spellStart"/>
      <w:r w:rsidR="00A31A99">
        <w:t>klavuzlar</w:t>
      </w:r>
      <w:proofErr w:type="spellEnd"/>
      <w:r w:rsidR="00D51651">
        <w:t xml:space="preserve"> ve başvuru </w:t>
      </w:r>
      <w:r w:rsidR="00A31A99">
        <w:t>formları</w:t>
      </w:r>
      <w:r w:rsidR="00D51651">
        <w:t xml:space="preserve"> aşağıda sunulmaktadır: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61"/>
        <w:gridCol w:w="2637"/>
        <w:gridCol w:w="2694"/>
        <w:gridCol w:w="1270"/>
      </w:tblGrid>
      <w:tr w:rsidR="00F56BB8" w:rsidTr="00E23719">
        <w:tc>
          <w:tcPr>
            <w:tcW w:w="2461" w:type="dxa"/>
          </w:tcPr>
          <w:p w:rsidR="00F56BB8" w:rsidRDefault="00F56BB8" w:rsidP="00973567"/>
        </w:tc>
        <w:tc>
          <w:tcPr>
            <w:tcW w:w="2637" w:type="dxa"/>
          </w:tcPr>
          <w:p w:rsidR="00F56BB8" w:rsidRDefault="00F56BB8" w:rsidP="00F56BB8">
            <w:pPr>
              <w:jc w:val="center"/>
            </w:pPr>
            <w:proofErr w:type="spellStart"/>
            <w:r w:rsidRPr="00E23719">
              <w:rPr>
                <w:i/>
                <w:u w:val="single"/>
              </w:rPr>
              <w:t>TURKPATENT’e</w:t>
            </w:r>
            <w:proofErr w:type="spellEnd"/>
            <w:r w:rsidRPr="00E23719">
              <w:rPr>
                <w:i/>
                <w:u w:val="single"/>
              </w:rPr>
              <w:t xml:space="preserve"> </w:t>
            </w:r>
            <w:r>
              <w:t>PPH Talebi için başvuru kılavuzu ve talep formu</w:t>
            </w:r>
          </w:p>
        </w:tc>
        <w:tc>
          <w:tcPr>
            <w:tcW w:w="2694" w:type="dxa"/>
          </w:tcPr>
          <w:p w:rsidR="00F56BB8" w:rsidRDefault="00E23719" w:rsidP="00F56BB8">
            <w:pPr>
              <w:jc w:val="center"/>
            </w:pPr>
            <w:r w:rsidRPr="00E23719">
              <w:rPr>
                <w:i/>
                <w:u w:val="single"/>
              </w:rPr>
              <w:t>DİĞER OFİSLERE</w:t>
            </w:r>
            <w:r>
              <w:t xml:space="preserve"> </w:t>
            </w:r>
            <w:r w:rsidR="00F56BB8">
              <w:t>PPH Talebi için başvuru kılavuzu ve talep formu</w:t>
            </w:r>
          </w:p>
        </w:tc>
        <w:tc>
          <w:tcPr>
            <w:tcW w:w="1270" w:type="dxa"/>
          </w:tcPr>
          <w:p w:rsidR="00F56BB8" w:rsidRDefault="00F56BB8" w:rsidP="00F56BB8">
            <w:pPr>
              <w:jc w:val="center"/>
            </w:pPr>
            <w:r>
              <w:t>Yürürlüğe Giriş Tarihi</w:t>
            </w:r>
          </w:p>
        </w:tc>
      </w:tr>
      <w:tr w:rsidR="00E23719" w:rsidTr="00E23719">
        <w:trPr>
          <w:trHeight w:val="1163"/>
        </w:trPr>
        <w:tc>
          <w:tcPr>
            <w:tcW w:w="2461" w:type="dxa"/>
            <w:vMerge w:val="restart"/>
            <w:vAlign w:val="center"/>
          </w:tcPr>
          <w:p w:rsidR="00E23719" w:rsidRDefault="00E23719" w:rsidP="00E23719">
            <w:pPr>
              <w:spacing w:before="120" w:after="120" w:line="276" w:lineRule="auto"/>
              <w:jc w:val="center"/>
              <w:rPr>
                <w:b/>
                <w:sz w:val="23"/>
                <w:szCs w:val="23"/>
                <w:lang w:val="en-GB"/>
              </w:rPr>
            </w:pPr>
            <w:proofErr w:type="spellStart"/>
            <w:r w:rsidRPr="00E23719">
              <w:rPr>
                <w:b/>
                <w:sz w:val="23"/>
                <w:szCs w:val="23"/>
                <w:lang w:val="en-GB"/>
              </w:rPr>
              <w:t>İspanya</w:t>
            </w:r>
            <w:proofErr w:type="spellEnd"/>
            <w:r w:rsidRPr="00E23719">
              <w:rPr>
                <w:b/>
                <w:sz w:val="23"/>
                <w:szCs w:val="23"/>
                <w:lang w:val="en-GB"/>
              </w:rPr>
              <w:t xml:space="preserve"> Patent </w:t>
            </w:r>
            <w:proofErr w:type="spellStart"/>
            <w:r w:rsidRPr="00E23719">
              <w:rPr>
                <w:b/>
                <w:sz w:val="23"/>
                <w:szCs w:val="23"/>
                <w:lang w:val="en-GB"/>
              </w:rPr>
              <w:t>ve</w:t>
            </w:r>
            <w:proofErr w:type="spellEnd"/>
            <w:r w:rsidRPr="00E23719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23719">
              <w:rPr>
                <w:b/>
                <w:sz w:val="23"/>
                <w:szCs w:val="23"/>
                <w:lang w:val="en-GB"/>
              </w:rPr>
              <w:t>Marka</w:t>
            </w:r>
            <w:proofErr w:type="spellEnd"/>
            <w:r w:rsidRPr="00E23719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23719">
              <w:rPr>
                <w:b/>
                <w:sz w:val="23"/>
                <w:szCs w:val="23"/>
                <w:lang w:val="en-GB"/>
              </w:rPr>
              <w:t>Ofisi</w:t>
            </w:r>
            <w:proofErr w:type="spellEnd"/>
            <w:r w:rsidRPr="00E23719">
              <w:rPr>
                <w:b/>
                <w:sz w:val="23"/>
                <w:szCs w:val="23"/>
                <w:lang w:val="en-GB"/>
              </w:rPr>
              <w:t xml:space="preserve"> </w:t>
            </w:r>
          </w:p>
          <w:p w:rsidR="00E23719" w:rsidRPr="00E23719" w:rsidRDefault="00E23719" w:rsidP="00E23719">
            <w:pPr>
              <w:spacing w:before="120" w:after="120" w:line="276" w:lineRule="auto"/>
              <w:jc w:val="center"/>
              <w:rPr>
                <w:b/>
                <w:sz w:val="23"/>
                <w:szCs w:val="23"/>
                <w:lang w:val="en-GB"/>
              </w:rPr>
            </w:pPr>
            <w:r w:rsidRPr="00E23719">
              <w:rPr>
                <w:b/>
                <w:sz w:val="23"/>
                <w:szCs w:val="23"/>
                <w:lang w:val="en-GB"/>
              </w:rPr>
              <w:t>(SPTO)</w:t>
            </w:r>
          </w:p>
          <w:p w:rsidR="00E23719" w:rsidRDefault="00E23719" w:rsidP="0010276F">
            <w:pPr>
              <w:spacing w:before="120" w:after="120" w:line="276" w:lineRule="auto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BEC9721" wp14:editId="2E6E9991">
                  <wp:extent cx="800100" cy="532430"/>
                  <wp:effectExtent l="0" t="0" r="0" b="127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61" cy="55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vAlign w:val="center"/>
          </w:tcPr>
          <w:p w:rsidR="00E23719" w:rsidRPr="00E23719" w:rsidRDefault="00E23719" w:rsidP="00C77104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SPTO’dan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TÜRKPATENT’e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E23719" w:rsidRPr="00E23719" w:rsidRDefault="00E23719" w:rsidP="00C77104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KILAVUZU</w:t>
            </w:r>
          </w:p>
        </w:tc>
        <w:tc>
          <w:tcPr>
            <w:tcW w:w="2694" w:type="dxa"/>
            <w:vAlign w:val="center"/>
          </w:tcPr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TÜRKPATENT’den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SPTO’ya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KILAVUZU</w:t>
            </w:r>
          </w:p>
        </w:tc>
        <w:tc>
          <w:tcPr>
            <w:tcW w:w="1270" w:type="dxa"/>
            <w:vMerge w:val="restart"/>
            <w:vAlign w:val="center"/>
          </w:tcPr>
          <w:p w:rsidR="00E23719" w:rsidRDefault="00731268" w:rsidP="00C77104">
            <w:pPr>
              <w:jc w:val="center"/>
            </w:pPr>
            <w:r>
              <w:rPr>
                <w:rFonts w:ascii="Calibri" w:hAnsi="Calibri"/>
                <w:lang w:val="en-US"/>
              </w:rPr>
              <w:t>15</w:t>
            </w:r>
            <w:r w:rsidR="00E23719">
              <w:rPr>
                <w:rFonts w:ascii="Calibri" w:hAnsi="Calibri"/>
                <w:lang w:val="en-US"/>
              </w:rPr>
              <w:t>.01.2017</w:t>
            </w:r>
          </w:p>
        </w:tc>
      </w:tr>
      <w:tr w:rsidR="00E23719" w:rsidTr="00E23719">
        <w:trPr>
          <w:trHeight w:val="1162"/>
        </w:trPr>
        <w:tc>
          <w:tcPr>
            <w:tcW w:w="2461" w:type="dxa"/>
            <w:vMerge/>
            <w:vAlign w:val="center"/>
          </w:tcPr>
          <w:p w:rsidR="00E23719" w:rsidRPr="00E23719" w:rsidRDefault="00E23719" w:rsidP="00E23719">
            <w:pPr>
              <w:spacing w:before="120" w:after="120" w:line="276" w:lineRule="auto"/>
              <w:jc w:val="center"/>
              <w:rPr>
                <w:b/>
                <w:sz w:val="23"/>
                <w:szCs w:val="23"/>
                <w:lang w:val="en-GB"/>
              </w:rPr>
            </w:pPr>
          </w:p>
        </w:tc>
        <w:tc>
          <w:tcPr>
            <w:tcW w:w="2637" w:type="dxa"/>
            <w:vAlign w:val="center"/>
          </w:tcPr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SPTO’dan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TÜRKPATENT’e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TALEP FORMU</w:t>
            </w:r>
          </w:p>
        </w:tc>
        <w:tc>
          <w:tcPr>
            <w:tcW w:w="2694" w:type="dxa"/>
            <w:vAlign w:val="center"/>
          </w:tcPr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TÜRKPATENT’den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SPTO’ya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E23719" w:rsidRPr="00E23719" w:rsidRDefault="00E23719" w:rsidP="00E23719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TALEP FORMU</w:t>
            </w:r>
          </w:p>
        </w:tc>
        <w:tc>
          <w:tcPr>
            <w:tcW w:w="1270" w:type="dxa"/>
            <w:vMerge/>
            <w:vAlign w:val="center"/>
          </w:tcPr>
          <w:p w:rsidR="00E23719" w:rsidRDefault="00E23719" w:rsidP="00C77104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731268" w:rsidTr="00731268">
        <w:trPr>
          <w:trHeight w:val="983"/>
        </w:trPr>
        <w:tc>
          <w:tcPr>
            <w:tcW w:w="2461" w:type="dxa"/>
            <w:vMerge w:val="restart"/>
          </w:tcPr>
          <w:p w:rsidR="00731268" w:rsidRDefault="00731268" w:rsidP="0019278A">
            <w:pPr>
              <w:spacing w:before="120" w:after="120" w:line="276" w:lineRule="auto"/>
              <w:jc w:val="center"/>
              <w:rPr>
                <w:b/>
                <w:sz w:val="23"/>
                <w:szCs w:val="23"/>
                <w:lang w:val="en-GB"/>
              </w:rPr>
            </w:pPr>
            <w:proofErr w:type="spellStart"/>
            <w:r w:rsidRPr="00731268">
              <w:rPr>
                <w:b/>
                <w:sz w:val="23"/>
                <w:szCs w:val="23"/>
                <w:lang w:val="en-GB"/>
              </w:rPr>
              <w:t>Japon</w:t>
            </w:r>
            <w:proofErr w:type="spellEnd"/>
            <w:r w:rsidRPr="00731268">
              <w:rPr>
                <w:b/>
                <w:sz w:val="23"/>
                <w:szCs w:val="23"/>
                <w:lang w:val="en-GB"/>
              </w:rPr>
              <w:t xml:space="preserve"> Patent </w:t>
            </w:r>
            <w:proofErr w:type="spellStart"/>
            <w:r w:rsidRPr="00731268">
              <w:rPr>
                <w:b/>
                <w:sz w:val="23"/>
                <w:szCs w:val="23"/>
                <w:lang w:val="en-GB"/>
              </w:rPr>
              <w:t>Ofisi</w:t>
            </w:r>
            <w:proofErr w:type="spellEnd"/>
            <w:r w:rsidRPr="00731268">
              <w:rPr>
                <w:b/>
                <w:sz w:val="23"/>
                <w:szCs w:val="23"/>
                <w:lang w:val="en-GB"/>
              </w:rPr>
              <w:t xml:space="preserve"> (JPO)</w:t>
            </w:r>
          </w:p>
          <w:p w:rsidR="00731268" w:rsidRDefault="00731268" w:rsidP="0019278A">
            <w:pPr>
              <w:spacing w:before="120" w:after="120" w:line="276" w:lineRule="auto"/>
              <w:jc w:val="center"/>
            </w:pPr>
            <w:r>
              <w:object w:dxaOrig="4200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45.75pt" o:ole="">
                  <v:imagedata r:id="rId10" o:title=""/>
                </v:shape>
                <o:OLEObject Type="Embed" ProgID="PBrush" ShapeID="_x0000_i1025" DrawAspect="Content" ObjectID="_1583907506" r:id="rId11"/>
              </w:object>
            </w:r>
          </w:p>
        </w:tc>
        <w:tc>
          <w:tcPr>
            <w:tcW w:w="2637" w:type="dxa"/>
          </w:tcPr>
          <w:p w:rsidR="00731268" w:rsidRPr="00E23719" w:rsidRDefault="00731268" w:rsidP="0019278A">
            <w:pPr>
              <w:jc w:val="center"/>
              <w:rPr>
                <w:rStyle w:val="Kpr"/>
              </w:rPr>
            </w:pPr>
            <w:proofErr w:type="spellStart"/>
            <w:r>
              <w:rPr>
                <w:rStyle w:val="Kpr"/>
              </w:rPr>
              <w:t>JPO</w:t>
            </w:r>
            <w:r w:rsidRPr="00E23719">
              <w:rPr>
                <w:rStyle w:val="Kpr"/>
              </w:rPr>
              <w:t>’dan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TÜRKPATENT’e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731268" w:rsidRPr="00E23719" w:rsidRDefault="00731268" w:rsidP="0019278A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KILAVUZU</w:t>
            </w:r>
          </w:p>
        </w:tc>
        <w:tc>
          <w:tcPr>
            <w:tcW w:w="2694" w:type="dxa"/>
          </w:tcPr>
          <w:p w:rsidR="00731268" w:rsidRPr="00E23719" w:rsidRDefault="00731268" w:rsidP="0019278A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TÜRKPATENT’den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>
              <w:rPr>
                <w:rStyle w:val="Kpr"/>
              </w:rPr>
              <w:t>JPO</w:t>
            </w:r>
            <w:r w:rsidRPr="00E23719">
              <w:rPr>
                <w:rStyle w:val="Kpr"/>
              </w:rPr>
              <w:t>’ya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731268" w:rsidRPr="00E23719" w:rsidRDefault="00731268" w:rsidP="0019278A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KILAVUZU</w:t>
            </w:r>
          </w:p>
        </w:tc>
        <w:tc>
          <w:tcPr>
            <w:tcW w:w="1270" w:type="dxa"/>
            <w:vMerge w:val="restart"/>
          </w:tcPr>
          <w:p w:rsidR="00731268" w:rsidRDefault="00731268" w:rsidP="00731268">
            <w:pPr>
              <w:jc w:val="center"/>
            </w:pPr>
            <w:r>
              <w:rPr>
                <w:rFonts w:ascii="Calibri" w:hAnsi="Calibri"/>
                <w:lang w:val="en-US"/>
              </w:rPr>
              <w:t>01.0</w:t>
            </w:r>
            <w:r>
              <w:rPr>
                <w:rFonts w:ascii="Calibri" w:hAnsi="Calibri"/>
                <w:lang w:val="en-US"/>
              </w:rPr>
              <w:t>4</w:t>
            </w:r>
            <w:r>
              <w:rPr>
                <w:rFonts w:ascii="Calibri" w:hAnsi="Calibri"/>
                <w:lang w:val="en-US"/>
              </w:rPr>
              <w:t>.201</w:t>
            </w:r>
            <w:r>
              <w:rPr>
                <w:rFonts w:ascii="Calibri" w:hAnsi="Calibri"/>
                <w:lang w:val="en-US"/>
              </w:rPr>
              <w:t>8</w:t>
            </w:r>
          </w:p>
        </w:tc>
      </w:tr>
      <w:tr w:rsidR="00731268" w:rsidTr="000661C3">
        <w:trPr>
          <w:trHeight w:val="982"/>
        </w:trPr>
        <w:tc>
          <w:tcPr>
            <w:tcW w:w="2461" w:type="dxa"/>
            <w:vMerge/>
          </w:tcPr>
          <w:p w:rsidR="00731268" w:rsidRPr="00731268" w:rsidRDefault="00731268" w:rsidP="00731268">
            <w:pPr>
              <w:spacing w:before="120" w:after="120" w:line="276" w:lineRule="auto"/>
              <w:jc w:val="center"/>
              <w:rPr>
                <w:b/>
                <w:sz w:val="23"/>
                <w:szCs w:val="23"/>
                <w:lang w:val="en-GB"/>
              </w:rPr>
            </w:pPr>
          </w:p>
        </w:tc>
        <w:tc>
          <w:tcPr>
            <w:tcW w:w="2637" w:type="dxa"/>
            <w:vAlign w:val="center"/>
          </w:tcPr>
          <w:p w:rsidR="00731268" w:rsidRPr="00E23719" w:rsidRDefault="00731268" w:rsidP="00731268">
            <w:pPr>
              <w:jc w:val="center"/>
              <w:rPr>
                <w:rStyle w:val="Kpr"/>
              </w:rPr>
            </w:pPr>
            <w:proofErr w:type="spellStart"/>
            <w:r>
              <w:rPr>
                <w:rStyle w:val="Kpr"/>
              </w:rPr>
              <w:t>JPO</w:t>
            </w:r>
            <w:r w:rsidRPr="00E23719">
              <w:rPr>
                <w:rStyle w:val="Kpr"/>
              </w:rPr>
              <w:t>’dan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 w:rsidRPr="00E23719">
              <w:rPr>
                <w:rStyle w:val="Kpr"/>
              </w:rPr>
              <w:t>TÜRKPATENT’e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731268" w:rsidRPr="00E23719" w:rsidRDefault="00731268" w:rsidP="00731268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TALEP FORMU</w:t>
            </w:r>
          </w:p>
        </w:tc>
        <w:tc>
          <w:tcPr>
            <w:tcW w:w="2694" w:type="dxa"/>
            <w:vAlign w:val="center"/>
          </w:tcPr>
          <w:p w:rsidR="00731268" w:rsidRPr="00E23719" w:rsidRDefault="00731268" w:rsidP="00731268">
            <w:pPr>
              <w:jc w:val="center"/>
              <w:rPr>
                <w:rStyle w:val="Kpr"/>
              </w:rPr>
            </w:pPr>
            <w:proofErr w:type="spellStart"/>
            <w:r w:rsidRPr="00E23719">
              <w:rPr>
                <w:rStyle w:val="Kpr"/>
              </w:rPr>
              <w:t>TÜRKPATENT’den</w:t>
            </w:r>
            <w:proofErr w:type="spellEnd"/>
            <w:r w:rsidRPr="00E23719">
              <w:rPr>
                <w:rStyle w:val="Kpr"/>
              </w:rPr>
              <w:t xml:space="preserve"> </w:t>
            </w:r>
            <w:proofErr w:type="spellStart"/>
            <w:r>
              <w:rPr>
                <w:rStyle w:val="Kpr"/>
              </w:rPr>
              <w:t>JPO</w:t>
            </w:r>
            <w:r w:rsidRPr="00E23719">
              <w:rPr>
                <w:rStyle w:val="Kpr"/>
              </w:rPr>
              <w:t>’ya</w:t>
            </w:r>
            <w:proofErr w:type="spellEnd"/>
            <w:r w:rsidRPr="00E23719">
              <w:rPr>
                <w:rStyle w:val="Kpr"/>
              </w:rPr>
              <w:t xml:space="preserve"> </w:t>
            </w:r>
          </w:p>
          <w:p w:rsidR="00731268" w:rsidRPr="00E23719" w:rsidRDefault="00731268" w:rsidP="00731268">
            <w:pPr>
              <w:jc w:val="center"/>
              <w:rPr>
                <w:rStyle w:val="Kpr"/>
              </w:rPr>
            </w:pPr>
            <w:r w:rsidRPr="00E23719">
              <w:rPr>
                <w:rStyle w:val="Kpr"/>
              </w:rPr>
              <w:t>PPH TALEP FORMU</w:t>
            </w:r>
          </w:p>
        </w:tc>
        <w:tc>
          <w:tcPr>
            <w:tcW w:w="1270" w:type="dxa"/>
            <w:vMerge/>
          </w:tcPr>
          <w:p w:rsidR="00731268" w:rsidRDefault="00731268" w:rsidP="00731268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973567" w:rsidRPr="00886A11" w:rsidRDefault="00973567" w:rsidP="00973567">
      <w:pPr>
        <w:rPr>
          <w:lang w:val="en-GB"/>
        </w:rPr>
      </w:pPr>
      <w:bookmarkStart w:id="0" w:name="_GoBack"/>
      <w:bookmarkEnd w:id="0"/>
    </w:p>
    <w:sectPr w:rsidR="00973567" w:rsidRPr="0088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55291"/>
    <w:multiLevelType w:val="hybridMultilevel"/>
    <w:tmpl w:val="94C00AB8"/>
    <w:lvl w:ilvl="0" w:tplc="A5622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E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2C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8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1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CC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8F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6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C6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970924"/>
    <w:multiLevelType w:val="hybridMultilevel"/>
    <w:tmpl w:val="AA42132C"/>
    <w:lvl w:ilvl="0" w:tplc="FDB46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8AC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C0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43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64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C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22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631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0F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F5CBD"/>
    <w:multiLevelType w:val="hybridMultilevel"/>
    <w:tmpl w:val="F09C352A"/>
    <w:lvl w:ilvl="0" w:tplc="D63E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6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A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07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2F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C6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49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E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4F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66"/>
    <w:rsid w:val="0010276F"/>
    <w:rsid w:val="0015775E"/>
    <w:rsid w:val="002C16A1"/>
    <w:rsid w:val="00432FC7"/>
    <w:rsid w:val="004A1EC7"/>
    <w:rsid w:val="00661355"/>
    <w:rsid w:val="006D40D1"/>
    <w:rsid w:val="006F46CB"/>
    <w:rsid w:val="00721266"/>
    <w:rsid w:val="00725A57"/>
    <w:rsid w:val="00731268"/>
    <w:rsid w:val="00886A11"/>
    <w:rsid w:val="008E579E"/>
    <w:rsid w:val="009020A4"/>
    <w:rsid w:val="00973567"/>
    <w:rsid w:val="009862D6"/>
    <w:rsid w:val="00A31A99"/>
    <w:rsid w:val="00AC54BF"/>
    <w:rsid w:val="00B75EA2"/>
    <w:rsid w:val="00BC4C55"/>
    <w:rsid w:val="00BF659B"/>
    <w:rsid w:val="00C2507E"/>
    <w:rsid w:val="00C77104"/>
    <w:rsid w:val="00D51651"/>
    <w:rsid w:val="00DB15ED"/>
    <w:rsid w:val="00DF6D0B"/>
    <w:rsid w:val="00E23719"/>
    <w:rsid w:val="00E41C25"/>
    <w:rsid w:val="00E75DD4"/>
    <w:rsid w:val="00F56BB8"/>
    <w:rsid w:val="00F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23CB1-C2A8-42D0-89AF-98E19CEB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Paragraf">
    <w:name w:val="List Paragraph"/>
    <w:basedOn w:val="Normal"/>
    <w:uiPriority w:val="34"/>
    <w:qFormat/>
    <w:rsid w:val="00886A1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516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51651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D5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3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o.go.jp/ppph-portal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Özkan</dc:creator>
  <cp:keywords/>
  <dc:description/>
  <cp:lastModifiedBy>Serkan Özkan</cp:lastModifiedBy>
  <cp:revision>5</cp:revision>
  <dcterms:created xsi:type="dcterms:W3CDTF">2018-03-27T06:53:00Z</dcterms:created>
  <dcterms:modified xsi:type="dcterms:W3CDTF">2018-03-30T06:32:00Z</dcterms:modified>
</cp:coreProperties>
</file>